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88" w:rsidRDefault="00AF4288">
      <w:pPr>
        <w:pStyle w:val="af8"/>
        <w:rPr>
          <w:rFonts w:ascii="Times New Roman" w:hAnsi="Times New Roman"/>
          <w:sz w:val="26"/>
          <w:szCs w:val="26"/>
        </w:rPr>
      </w:pPr>
    </w:p>
    <w:p w:rsidR="00AF4288" w:rsidRDefault="004F050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AF4288" w:rsidRDefault="004F050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AF4288" w:rsidRDefault="00AF4288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AF4288" w:rsidRDefault="004F050A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>Настоящим Министерство труда и социальной защиты Республики Хакасия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AF4288" w:rsidRPr="004F050A" w:rsidRDefault="004F050A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Pr="004F050A">
        <w:rPr>
          <w:rFonts w:ascii="Times New Roman" w:hAnsi="Times New Roman"/>
          <w:sz w:val="26"/>
          <w:szCs w:val="26"/>
        </w:rPr>
        <w:t xml:space="preserve">: </w:t>
      </w:r>
      <w:hyperlink r:id="rId7" w:history="1">
        <w:r w:rsidRPr="004F050A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mt</w:t>
        </w:r>
        <w:r w:rsidRPr="004F050A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109@</w:t>
        </w:r>
        <w:r w:rsidRPr="004F050A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</w:t>
        </w:r>
        <w:r w:rsidRPr="004F050A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-19.</w:t>
        </w:r>
        <w:r w:rsidRPr="004F050A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4F050A">
        <w:t xml:space="preserve"> </w:t>
      </w:r>
      <w:r w:rsidRPr="004F050A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AF4288" w:rsidRDefault="004F050A">
      <w:pPr>
        <w:tabs>
          <w:tab w:val="right" w:pos="9923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 w:rsidRPr="004F050A">
        <w:rPr>
          <w:rFonts w:ascii="Times New Roman" w:hAnsi="Times New Roman"/>
          <w:sz w:val="26"/>
          <w:szCs w:val="26"/>
        </w:rPr>
        <w:t>Сроки приема предложений:</w:t>
      </w:r>
      <w:r w:rsidRPr="004F050A">
        <w:t xml:space="preserve"> </w:t>
      </w:r>
      <w:r w:rsidR="00B40154">
        <w:rPr>
          <w:rFonts w:ascii="Times New Roman" w:hAnsi="Times New Roman"/>
          <w:sz w:val="26"/>
          <w:szCs w:val="26"/>
        </w:rPr>
        <w:t>с 04</w:t>
      </w:r>
      <w:r w:rsidRPr="004F050A">
        <w:rPr>
          <w:rFonts w:ascii="Times New Roman" w:hAnsi="Times New Roman"/>
          <w:sz w:val="26"/>
          <w:szCs w:val="26"/>
        </w:rPr>
        <w:t xml:space="preserve"> апреля 2025 года по 1</w:t>
      </w:r>
      <w:r w:rsidR="00B40154">
        <w:rPr>
          <w:rFonts w:ascii="Times New Roman" w:hAnsi="Times New Roman"/>
          <w:sz w:val="26"/>
          <w:szCs w:val="26"/>
        </w:rPr>
        <w:t>0</w:t>
      </w:r>
      <w:r w:rsidRPr="004F05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</w:t>
      </w:r>
      <w:r w:rsidRPr="004F050A">
        <w:rPr>
          <w:rFonts w:ascii="Times New Roman" w:hAnsi="Times New Roman"/>
          <w:sz w:val="26"/>
          <w:szCs w:val="26"/>
        </w:rPr>
        <w:t xml:space="preserve"> 2025 года</w:t>
      </w:r>
      <w:r w:rsidRPr="004F050A">
        <w:rPr>
          <w:rFonts w:ascii="Times New Roman" w:hAnsi="Times New Roman"/>
          <w:color w:val="FF0000"/>
          <w:sz w:val="26"/>
          <w:szCs w:val="26"/>
        </w:rPr>
        <w:t>.</w:t>
      </w:r>
    </w:p>
    <w:p w:rsidR="00AF4288" w:rsidRDefault="004F050A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(www.r-19.ru). </w:t>
      </w:r>
    </w:p>
    <w:p w:rsidR="00AF4288" w:rsidRDefault="004F050A">
      <w:pPr>
        <w:pStyle w:val="af7"/>
        <w:tabs>
          <w:tab w:val="left" w:pos="287"/>
        </w:tabs>
        <w:spacing w:after="0" w:line="240" w:lineRule="auto"/>
        <w:ind w:left="34" w:firstLine="67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Иньшина Полина Станиславовна – главный эксперт отдела нестационарного обслуживания Министерства труда и социальной защиты Республики Хакасия, </w:t>
      </w:r>
      <w:r>
        <w:rPr>
          <w:rFonts w:ascii="Times New Roman" w:hAnsi="Times New Roman"/>
          <w:sz w:val="26"/>
          <w:szCs w:val="26"/>
        </w:rPr>
        <w:br/>
        <w:t>тел. (3902) 35-75-25, адрес электронной почты: m</w:t>
      </w:r>
      <w:r>
        <w:rPr>
          <w:rFonts w:ascii="Times New Roman" w:hAnsi="Times New Roman"/>
          <w:sz w:val="26"/>
          <w:szCs w:val="26"/>
          <w:lang w:val="en-US"/>
        </w:rPr>
        <w:t>t</w:t>
      </w:r>
      <w:r>
        <w:rPr>
          <w:rFonts w:ascii="Times New Roman" w:hAnsi="Times New Roman"/>
          <w:sz w:val="26"/>
          <w:szCs w:val="26"/>
        </w:rPr>
        <w:t>109@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-19.ru.</w:t>
      </w:r>
    </w:p>
    <w:p w:rsidR="00AF4288" w:rsidRDefault="00AF428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AF428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88" w:rsidRDefault="004F050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AF4288" w:rsidRDefault="00AF42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AF4288" w:rsidRPr="004F050A" w:rsidRDefault="004F05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Pr="004F050A">
                <w:rPr>
                  <w:rStyle w:val="af9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mt</w:t>
              </w:r>
              <w:r w:rsidRPr="004F050A">
                <w:rPr>
                  <w:rStyle w:val="af9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109@</w:t>
              </w:r>
              <w:r w:rsidRPr="004F050A">
                <w:rPr>
                  <w:rStyle w:val="af9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r</w:t>
              </w:r>
              <w:r w:rsidRPr="004F050A">
                <w:rPr>
                  <w:rStyle w:val="af9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-19.</w:t>
              </w:r>
              <w:r w:rsidRPr="004F050A">
                <w:rPr>
                  <w:rStyle w:val="af9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4F05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050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B40154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10</w:t>
            </w:r>
            <w:bookmarkStart w:id="0" w:name="_GoBack"/>
            <w:bookmarkEnd w:id="0"/>
            <w:r w:rsidRPr="004F050A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.04.2025</w:t>
            </w:r>
            <w:r w:rsidRPr="004F050A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AF4288" w:rsidRDefault="004F05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Министерство труда и социальной защиты Республики Хакасия, после указанного срока, могут быть не рассмотрены.</w:t>
            </w:r>
          </w:p>
        </w:tc>
      </w:tr>
      <w:tr w:rsidR="00AF4288">
        <w:tc>
          <w:tcPr>
            <w:tcW w:w="388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4288" w:rsidRDefault="00AF42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4288" w:rsidRDefault="00AF42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AF4288" w:rsidRDefault="004F05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AF4288" w:rsidRDefault="00AF42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4288"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4288" w:rsidRDefault="004F0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F4288" w:rsidRDefault="00AF42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F4288"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4288" w:rsidRDefault="004F0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F4288" w:rsidRDefault="00AF42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AF4288"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4288" w:rsidRDefault="004F0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F4288" w:rsidRDefault="00AF42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F4288"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4288" w:rsidRDefault="004F0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F4288" w:rsidRDefault="00AF42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F4288"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4288" w:rsidRDefault="004F0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F4288" w:rsidRDefault="00AF42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F4288"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F4288" w:rsidRDefault="004F0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F4288" w:rsidRDefault="00AF42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AF4288" w:rsidRDefault="00AF4288">
      <w:pPr>
        <w:pStyle w:val="af7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F4288" w:rsidRDefault="004F050A">
      <w:pPr>
        <w:pStyle w:val="af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 w:rsidR="00AF4288" w:rsidRDefault="004F050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F4288" w:rsidRDefault="004F050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F4288" w:rsidRDefault="004F050A">
      <w:pPr>
        <w:pStyle w:val="af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Перечислите основные субъекты предпринимательской и инвестиционной деятельности, основные группы адресатов, чьи интересы будут затронуты предполагаемым государственным регулированием? По возможности </w:t>
      </w:r>
      <w:r>
        <w:rPr>
          <w:rFonts w:ascii="Times New Roman" w:hAnsi="Times New Roman"/>
          <w:sz w:val="26"/>
          <w:szCs w:val="26"/>
        </w:rPr>
        <w:lastRenderedPageBreak/>
        <w:t>опишите, каким образом и в какой степени (существенной, несущественной) затронуты их интересы.</w:t>
      </w:r>
    </w:p>
    <w:p w:rsidR="00AF4288" w:rsidRDefault="004F050A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AF4288" w:rsidRDefault="004F050A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AF4288" w:rsidRDefault="004F050A">
      <w:pPr>
        <w:pStyle w:val="af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>и натуральные) результаты воздействия предполагаемого государственного регулирования для важнейших групп адресатов регулирования (положительные</w:t>
      </w:r>
      <w:r>
        <w:rPr>
          <w:rFonts w:ascii="Times New Roman" w:hAnsi="Times New Roman"/>
          <w:sz w:val="26"/>
          <w:szCs w:val="26"/>
        </w:rPr>
        <w:br/>
        <w:t>и отрицательные).</w:t>
      </w:r>
    </w:p>
    <w:p w:rsidR="00AF4288" w:rsidRDefault="004F050A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AF4288" w:rsidRDefault="004F050A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AF4288" w:rsidRDefault="004F050A">
      <w:pPr>
        <w:pStyle w:val="af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AF4288" w:rsidRDefault="004F050A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AF4288" w:rsidRDefault="004F050A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AF4288" w:rsidRDefault="004F05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AF4288" w:rsidRDefault="004F050A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F4288" w:rsidRDefault="004F050A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F4288" w:rsidRDefault="004F05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:rsidR="00AF4288" w:rsidRDefault="004F050A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AF4288" w:rsidRDefault="004F050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AF4288" w:rsidRDefault="004F050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>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>их в форме следующей таблицы:</w:t>
      </w:r>
    </w:p>
    <w:p w:rsidR="00AF4288" w:rsidRDefault="00AF428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AF428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288" w:rsidRDefault="004F0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288" w:rsidRDefault="004F0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288" w:rsidRDefault="004F0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AF428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288" w:rsidRDefault="00AF42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288" w:rsidRDefault="00AF42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288" w:rsidRDefault="00AF42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AF4288" w:rsidRDefault="00AF428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F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88" w:rsidRDefault="004F050A">
      <w:pPr>
        <w:spacing w:after="0" w:line="240" w:lineRule="auto"/>
      </w:pPr>
      <w:r>
        <w:separator/>
      </w:r>
    </w:p>
  </w:endnote>
  <w:endnote w:type="continuationSeparator" w:id="0">
    <w:p w:rsidR="00AF4288" w:rsidRDefault="004F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88" w:rsidRDefault="004F050A">
      <w:pPr>
        <w:spacing w:after="0" w:line="240" w:lineRule="auto"/>
      </w:pPr>
      <w:r>
        <w:separator/>
      </w:r>
    </w:p>
  </w:footnote>
  <w:footnote w:type="continuationSeparator" w:id="0">
    <w:p w:rsidR="00AF4288" w:rsidRDefault="004F0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559C1"/>
    <w:multiLevelType w:val="hybridMultilevel"/>
    <w:tmpl w:val="277E9168"/>
    <w:lvl w:ilvl="0" w:tplc="C8308C1C">
      <w:start w:val="1"/>
      <w:numFmt w:val="decimal"/>
      <w:lvlText w:val="%1."/>
      <w:lvlJc w:val="left"/>
      <w:pPr>
        <w:ind w:left="1554" w:hanging="420"/>
      </w:pPr>
    </w:lvl>
    <w:lvl w:ilvl="1" w:tplc="AC608A04">
      <w:start w:val="1"/>
      <w:numFmt w:val="lowerLetter"/>
      <w:lvlText w:val="%2."/>
      <w:lvlJc w:val="left"/>
      <w:pPr>
        <w:ind w:left="2214" w:hanging="360"/>
      </w:pPr>
    </w:lvl>
    <w:lvl w:ilvl="2" w:tplc="3BC44242">
      <w:start w:val="1"/>
      <w:numFmt w:val="lowerRoman"/>
      <w:lvlText w:val="%3."/>
      <w:lvlJc w:val="right"/>
      <w:pPr>
        <w:ind w:left="2934" w:hanging="180"/>
      </w:pPr>
    </w:lvl>
    <w:lvl w:ilvl="3" w:tplc="433A971C">
      <w:start w:val="1"/>
      <w:numFmt w:val="decimal"/>
      <w:lvlText w:val="%4."/>
      <w:lvlJc w:val="left"/>
      <w:pPr>
        <w:ind w:left="3654" w:hanging="360"/>
      </w:pPr>
    </w:lvl>
    <w:lvl w:ilvl="4" w:tplc="71B6EFD2">
      <w:start w:val="1"/>
      <w:numFmt w:val="lowerLetter"/>
      <w:lvlText w:val="%5."/>
      <w:lvlJc w:val="left"/>
      <w:pPr>
        <w:ind w:left="4374" w:hanging="360"/>
      </w:pPr>
    </w:lvl>
    <w:lvl w:ilvl="5" w:tplc="D6D08E7E">
      <w:start w:val="1"/>
      <w:numFmt w:val="lowerRoman"/>
      <w:lvlText w:val="%6."/>
      <w:lvlJc w:val="right"/>
      <w:pPr>
        <w:ind w:left="5094" w:hanging="180"/>
      </w:pPr>
    </w:lvl>
    <w:lvl w:ilvl="6" w:tplc="F7AAB650">
      <w:start w:val="1"/>
      <w:numFmt w:val="decimal"/>
      <w:lvlText w:val="%7."/>
      <w:lvlJc w:val="left"/>
      <w:pPr>
        <w:ind w:left="5814" w:hanging="360"/>
      </w:pPr>
    </w:lvl>
    <w:lvl w:ilvl="7" w:tplc="BBC40500">
      <w:start w:val="1"/>
      <w:numFmt w:val="lowerLetter"/>
      <w:lvlText w:val="%8."/>
      <w:lvlJc w:val="left"/>
      <w:pPr>
        <w:ind w:left="6534" w:hanging="360"/>
      </w:pPr>
    </w:lvl>
    <w:lvl w:ilvl="8" w:tplc="2E5AB81E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88"/>
    <w:rsid w:val="004F050A"/>
    <w:rsid w:val="00AF4288"/>
    <w:rsid w:val="00B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7819"/>
  <w15:docId w15:val="{9FF287A5-0741-4E3B-8662-589412B2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109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t109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3258</Characters>
  <Application>Microsoft Office Word</Application>
  <DocSecurity>0</DocSecurity>
  <Lines>27</Lines>
  <Paragraphs>7</Paragraphs>
  <ScaleCrop>false</ScaleCrop>
  <Company>Минэкономразвития Хакасии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Home4</cp:lastModifiedBy>
  <cp:revision>10</cp:revision>
  <dcterms:created xsi:type="dcterms:W3CDTF">2024-06-03T04:49:00Z</dcterms:created>
  <dcterms:modified xsi:type="dcterms:W3CDTF">2025-04-03T07:56:00Z</dcterms:modified>
</cp:coreProperties>
</file>